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E3" w:rsidRPr="00BC0995" w:rsidRDefault="00A477E3" w:rsidP="00BC0995">
      <w:pPr>
        <w:jc w:val="center"/>
        <w:rPr>
          <w:rFonts w:ascii="Arial" w:hAnsi="Arial" w:cs="Arial"/>
          <w:b/>
        </w:rPr>
      </w:pPr>
      <w:r w:rsidRPr="00BC0995">
        <w:rPr>
          <w:rFonts w:ascii="Arial" w:hAnsi="Arial" w:cs="Arial"/>
          <w:b/>
        </w:rPr>
        <w:t>SOSPETTO DIAGNOSTICO</w:t>
      </w:r>
    </w:p>
    <w:p w:rsidR="00A477E3" w:rsidRPr="00BC0995" w:rsidRDefault="00A477E3" w:rsidP="00A477E3">
      <w:pPr>
        <w:jc w:val="both"/>
        <w:rPr>
          <w:rFonts w:ascii="Arial" w:hAnsi="Arial" w:cs="Arial"/>
        </w:rPr>
      </w:pPr>
      <w:r w:rsidRPr="00BC0995">
        <w:rPr>
          <w:rFonts w:ascii="Arial" w:hAnsi="Arial" w:cs="Arial"/>
          <w:b/>
          <w:color w:val="FF0000"/>
        </w:rPr>
        <w:t>FEBBRE DI ORIGINE SCONOSCIUTA</w:t>
      </w:r>
    </w:p>
    <w:p w:rsidR="00A477E3" w:rsidRPr="00BC0995" w:rsidRDefault="00A477E3" w:rsidP="00A477E3">
      <w:pPr>
        <w:jc w:val="both"/>
        <w:rPr>
          <w:rFonts w:ascii="Arial" w:hAnsi="Arial" w:cs="Arial"/>
        </w:rPr>
      </w:pPr>
    </w:p>
    <w:p w:rsidR="00A477E3" w:rsidRPr="00BC0995" w:rsidRDefault="00A477E3" w:rsidP="00A477E3">
      <w:pPr>
        <w:jc w:val="both"/>
        <w:rPr>
          <w:rFonts w:ascii="Arial" w:hAnsi="Arial" w:cs="Arial"/>
        </w:rPr>
      </w:pPr>
    </w:p>
    <w:p w:rsidR="00A477E3" w:rsidRPr="00BC0995" w:rsidRDefault="00A477E3" w:rsidP="00BC0995">
      <w:pPr>
        <w:jc w:val="center"/>
        <w:rPr>
          <w:rFonts w:ascii="Arial" w:hAnsi="Arial" w:cs="Arial"/>
          <w:b/>
        </w:rPr>
      </w:pPr>
      <w:r w:rsidRPr="00BC0995">
        <w:rPr>
          <w:rFonts w:ascii="Arial" w:hAnsi="Arial" w:cs="Arial"/>
          <w:b/>
        </w:rPr>
        <w:t>Definizione della patologia sospettata</w:t>
      </w:r>
    </w:p>
    <w:p w:rsidR="00A477E3" w:rsidRPr="00BC0995" w:rsidRDefault="00A477E3" w:rsidP="00A477E3">
      <w:pPr>
        <w:jc w:val="both"/>
        <w:rPr>
          <w:rFonts w:ascii="Arial" w:hAnsi="Arial" w:cs="Arial"/>
          <w:color w:val="C00000"/>
        </w:rPr>
      </w:pPr>
      <w:r w:rsidRPr="00BC0995">
        <w:rPr>
          <w:rFonts w:ascii="Arial" w:hAnsi="Arial" w:cs="Arial"/>
          <w:b/>
          <w:color w:val="C00000"/>
        </w:rPr>
        <w:t>Febbre documentata da un operatore sanitario per la quale non può essere identificata la causa dopo 3 settimane di valutazione ambulatoriale o dopo una settimana di valutazione ospedaliera.</w:t>
      </w:r>
    </w:p>
    <w:p w:rsidR="00A477E3" w:rsidRPr="00BC0995" w:rsidRDefault="00A477E3" w:rsidP="00A477E3">
      <w:pPr>
        <w:jc w:val="both"/>
        <w:rPr>
          <w:rFonts w:ascii="Arial" w:hAnsi="Arial" w:cs="Arial"/>
        </w:rPr>
      </w:pPr>
    </w:p>
    <w:p w:rsidR="00A477E3" w:rsidRPr="00BC0995" w:rsidRDefault="00A477E3" w:rsidP="00A477E3">
      <w:pPr>
        <w:jc w:val="both"/>
        <w:rPr>
          <w:rFonts w:ascii="Arial" w:hAnsi="Arial" w:cs="Arial"/>
          <w:b/>
        </w:rPr>
      </w:pPr>
      <w:r w:rsidRPr="00BC0995">
        <w:rPr>
          <w:rFonts w:ascii="Arial" w:hAnsi="Arial" w:cs="Arial"/>
          <w:b/>
        </w:rPr>
        <w:t>Tipologia di pazienti</w:t>
      </w:r>
    </w:p>
    <w:p w:rsidR="00A477E3" w:rsidRPr="00BC0995" w:rsidRDefault="00A477E3" w:rsidP="00A477E3">
      <w:pPr>
        <w:jc w:val="both"/>
        <w:rPr>
          <w:rFonts w:ascii="Arial" w:hAnsi="Arial" w:cs="Arial"/>
          <w:b/>
        </w:rPr>
      </w:pPr>
    </w:p>
    <w:p w:rsidR="00A477E3" w:rsidRPr="00BC0995" w:rsidRDefault="00A477E3" w:rsidP="00A477E3">
      <w:pPr>
        <w:jc w:val="both"/>
        <w:rPr>
          <w:rFonts w:ascii="Arial" w:hAnsi="Arial" w:cs="Arial"/>
          <w:b/>
          <w:sz w:val="16"/>
          <w:szCs w:val="16"/>
        </w:rPr>
      </w:pPr>
    </w:p>
    <w:p w:rsidR="00A477E3" w:rsidRPr="00BC0995" w:rsidRDefault="00A477E3" w:rsidP="00A477E3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</w:rPr>
      </w:pPr>
      <w:r w:rsidRPr="00BC0995">
        <w:rPr>
          <w:rFonts w:ascii="Arial" w:hAnsi="Arial" w:cs="Arial"/>
        </w:rPr>
        <w:t xml:space="preserve">Età </w:t>
      </w:r>
      <w:r w:rsidRPr="00BC0995">
        <w:rPr>
          <w:rFonts w:ascii="Arial" w:hAnsi="Arial" w:cs="Arial"/>
          <w:i/>
        </w:rPr>
        <w:t>(differenziare l’iter se si prevede che sia diverso per differenti fasce d’età)</w:t>
      </w:r>
      <w:r w:rsidRPr="00BC0995">
        <w:rPr>
          <w:rFonts w:ascii="Arial" w:hAnsi="Arial" w:cs="Arial"/>
        </w:rPr>
        <w:t xml:space="preserve">: </w:t>
      </w:r>
      <w:r w:rsidRPr="00BC0995">
        <w:rPr>
          <w:rFonts w:ascii="Arial" w:hAnsi="Arial" w:cs="Arial"/>
          <w:b/>
          <w:color w:val="FF0000"/>
        </w:rPr>
        <w:t>il neonato</w:t>
      </w:r>
      <w:r w:rsidR="00D02072" w:rsidRPr="00BC0995">
        <w:rPr>
          <w:rFonts w:ascii="Arial" w:hAnsi="Arial" w:cs="Arial"/>
          <w:b/>
          <w:color w:val="FF0000"/>
        </w:rPr>
        <w:t xml:space="preserve"> và gestito in maniera diversa</w:t>
      </w:r>
    </w:p>
    <w:p w:rsidR="00A477E3" w:rsidRPr="00BC0995" w:rsidRDefault="00A477E3" w:rsidP="00A477E3">
      <w:pPr>
        <w:jc w:val="both"/>
        <w:rPr>
          <w:rFonts w:ascii="Arial" w:hAnsi="Arial" w:cs="Arial"/>
        </w:rPr>
      </w:pPr>
    </w:p>
    <w:p w:rsidR="00A477E3" w:rsidRPr="00BC0995" w:rsidRDefault="00A477E3" w:rsidP="00A477E3">
      <w:pPr>
        <w:jc w:val="both"/>
        <w:rPr>
          <w:rFonts w:ascii="Arial" w:hAnsi="Arial" w:cs="Arial"/>
          <w:sz w:val="8"/>
          <w:szCs w:val="8"/>
        </w:rPr>
      </w:pPr>
    </w:p>
    <w:p w:rsidR="00A477E3" w:rsidRPr="00BC0995" w:rsidRDefault="00A477E3" w:rsidP="00A477E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C0995">
        <w:rPr>
          <w:rFonts w:ascii="Arial" w:hAnsi="Arial" w:cs="Arial"/>
        </w:rPr>
        <w:t xml:space="preserve">Criteri clinici di inclusione nell’iter diagnostico </w:t>
      </w:r>
      <w:r w:rsidRPr="00BC0995">
        <w:rPr>
          <w:rFonts w:ascii="Arial" w:hAnsi="Arial" w:cs="Arial"/>
          <w:i/>
        </w:rPr>
        <w:t>(sintomi/segni clinici che impongono l’esecuzione di indagini)</w:t>
      </w:r>
      <w:r w:rsidRPr="00BC0995">
        <w:rPr>
          <w:rFonts w:ascii="Arial" w:hAnsi="Arial" w:cs="Arial"/>
        </w:rPr>
        <w:t>:</w:t>
      </w:r>
    </w:p>
    <w:p w:rsidR="00A477E3" w:rsidRPr="00BC0995" w:rsidRDefault="00A477E3" w:rsidP="00A477E3">
      <w:pPr>
        <w:ind w:left="720"/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Qualsiasi FUO impone un approfondimento diagnostico</w:t>
      </w:r>
      <w:r w:rsidR="00357058">
        <w:rPr>
          <w:rFonts w:ascii="Arial" w:hAnsi="Arial" w:cs="Arial"/>
          <w:b/>
          <w:color w:val="C00000"/>
        </w:rPr>
        <w:t xml:space="preserve"> </w:t>
      </w:r>
      <w:r w:rsidR="00357058" w:rsidRPr="007C0EF3">
        <w:rPr>
          <w:rFonts w:ascii="Arial" w:hAnsi="Arial" w:cs="Arial"/>
          <w:b/>
          <w:color w:val="C00000"/>
        </w:rPr>
        <w:t>(vedi tabella n°1 allegata)</w:t>
      </w:r>
    </w:p>
    <w:p w:rsidR="00A477E3" w:rsidRPr="00BC0995" w:rsidRDefault="00A477E3" w:rsidP="00A477E3">
      <w:pPr>
        <w:ind w:left="720"/>
        <w:jc w:val="both"/>
        <w:rPr>
          <w:rFonts w:ascii="Arial" w:hAnsi="Arial" w:cs="Arial"/>
        </w:rPr>
      </w:pPr>
    </w:p>
    <w:p w:rsidR="00A477E3" w:rsidRPr="00BC0995" w:rsidRDefault="00A477E3" w:rsidP="00A477E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C0995">
        <w:rPr>
          <w:rFonts w:ascii="Arial" w:hAnsi="Arial" w:cs="Arial"/>
        </w:rPr>
        <w:t>Eventuali fattori di rischio che prevedano percorsi specifici</w:t>
      </w:r>
    </w:p>
    <w:p w:rsidR="00357058" w:rsidRPr="00BC0995" w:rsidRDefault="00357058" w:rsidP="00357058">
      <w:pPr>
        <w:numPr>
          <w:ilvl w:val="1"/>
          <w:numId w:val="1"/>
        </w:numPr>
        <w:jc w:val="both"/>
        <w:rPr>
          <w:rFonts w:ascii="Arial" w:hAnsi="Arial" w:cs="Arial"/>
          <w:b/>
          <w:color w:val="FF0000"/>
        </w:rPr>
      </w:pPr>
      <w:r w:rsidRPr="00BC0995">
        <w:rPr>
          <w:rFonts w:ascii="Arial" w:hAnsi="Arial" w:cs="Arial"/>
          <w:b/>
          <w:color w:val="FF0000"/>
        </w:rPr>
        <w:t xml:space="preserve">FUO Nosocomiale (vedi tabella </w:t>
      </w:r>
      <w:r>
        <w:rPr>
          <w:rFonts w:ascii="Arial" w:hAnsi="Arial" w:cs="Arial"/>
          <w:b/>
          <w:color w:val="FF0000"/>
        </w:rPr>
        <w:t xml:space="preserve">n°2 </w:t>
      </w:r>
      <w:r w:rsidRPr="00BC0995">
        <w:rPr>
          <w:rFonts w:ascii="Arial" w:hAnsi="Arial" w:cs="Arial"/>
          <w:b/>
          <w:color w:val="FF0000"/>
        </w:rPr>
        <w:t>allegata)</w:t>
      </w:r>
    </w:p>
    <w:p w:rsidR="00A477E3" w:rsidRPr="00BC0995" w:rsidRDefault="00357058" w:rsidP="00A477E3">
      <w:pPr>
        <w:numPr>
          <w:ilvl w:val="1"/>
          <w:numId w:val="1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FUO nel soggetto Immunodeficiente</w:t>
      </w:r>
      <w:r w:rsidR="00D02072" w:rsidRPr="00BC0995">
        <w:rPr>
          <w:rFonts w:ascii="Arial" w:hAnsi="Arial" w:cs="Arial"/>
          <w:b/>
          <w:color w:val="FF0000"/>
        </w:rPr>
        <w:t xml:space="preserve"> (vedi tabella</w:t>
      </w:r>
      <w:r>
        <w:rPr>
          <w:rFonts w:ascii="Arial" w:hAnsi="Arial" w:cs="Arial"/>
          <w:b/>
          <w:color w:val="FF0000"/>
        </w:rPr>
        <w:t xml:space="preserve"> n°3</w:t>
      </w:r>
      <w:r w:rsidR="00D02072" w:rsidRPr="00BC0995">
        <w:rPr>
          <w:rFonts w:ascii="Arial" w:hAnsi="Arial" w:cs="Arial"/>
          <w:b/>
          <w:color w:val="FF0000"/>
        </w:rPr>
        <w:t xml:space="preserve"> allegata)</w:t>
      </w:r>
    </w:p>
    <w:p w:rsidR="00D02072" w:rsidRPr="00BC0995" w:rsidRDefault="00357058" w:rsidP="00A477E3">
      <w:pPr>
        <w:numPr>
          <w:ilvl w:val="1"/>
          <w:numId w:val="1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FUO nel soggetto con </w:t>
      </w:r>
      <w:r w:rsidR="00D02072" w:rsidRPr="00BC0995">
        <w:rPr>
          <w:rFonts w:ascii="Arial" w:hAnsi="Arial" w:cs="Arial"/>
          <w:b/>
          <w:color w:val="FF0000"/>
        </w:rPr>
        <w:t>Infezione da HIV (vedi tabella</w:t>
      </w:r>
      <w:r>
        <w:rPr>
          <w:rFonts w:ascii="Arial" w:hAnsi="Arial" w:cs="Arial"/>
          <w:b/>
          <w:color w:val="FF0000"/>
        </w:rPr>
        <w:t xml:space="preserve"> n°4</w:t>
      </w:r>
      <w:r w:rsidR="00D02072" w:rsidRPr="00BC0995">
        <w:rPr>
          <w:rFonts w:ascii="Arial" w:hAnsi="Arial" w:cs="Arial"/>
          <w:b/>
          <w:color w:val="FF0000"/>
        </w:rPr>
        <w:t xml:space="preserve"> allegata)</w:t>
      </w:r>
    </w:p>
    <w:p w:rsidR="00D02072" w:rsidRPr="007C0EF3" w:rsidRDefault="00357058" w:rsidP="00A477E3">
      <w:pPr>
        <w:numPr>
          <w:ilvl w:val="1"/>
          <w:numId w:val="1"/>
        </w:numPr>
        <w:jc w:val="both"/>
        <w:rPr>
          <w:rFonts w:ascii="Arial" w:hAnsi="Arial" w:cs="Arial"/>
          <w:b/>
          <w:color w:val="FF0000"/>
        </w:rPr>
      </w:pPr>
      <w:r w:rsidRPr="007C0EF3">
        <w:rPr>
          <w:rFonts w:ascii="Arial" w:hAnsi="Arial" w:cs="Arial"/>
          <w:b/>
          <w:color w:val="FF0000"/>
        </w:rPr>
        <w:t xml:space="preserve">FUO in altre </w:t>
      </w:r>
      <w:r w:rsidR="00D02072" w:rsidRPr="007C0EF3">
        <w:rPr>
          <w:rFonts w:ascii="Arial" w:hAnsi="Arial" w:cs="Arial"/>
          <w:b/>
          <w:color w:val="FF0000"/>
        </w:rPr>
        <w:t xml:space="preserve">Malattie croniche </w:t>
      </w:r>
    </w:p>
    <w:p w:rsidR="00A477E3" w:rsidRPr="00BC0995" w:rsidRDefault="00A477E3" w:rsidP="00A477E3">
      <w:pPr>
        <w:jc w:val="both"/>
        <w:rPr>
          <w:rFonts w:ascii="Arial" w:hAnsi="Arial" w:cs="Arial"/>
          <w:b/>
          <w:sz w:val="32"/>
          <w:szCs w:val="32"/>
        </w:rPr>
      </w:pPr>
    </w:p>
    <w:p w:rsidR="00A477E3" w:rsidRPr="00BC0995" w:rsidRDefault="00A477E3" w:rsidP="00A477E3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C0995">
        <w:rPr>
          <w:rFonts w:ascii="Arial" w:hAnsi="Arial" w:cs="Arial"/>
          <w:b/>
          <w:sz w:val="28"/>
          <w:szCs w:val="28"/>
        </w:rPr>
        <w:t>Indagini di 1° livello</w:t>
      </w:r>
      <w:r w:rsidRPr="00BC0995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A477E3" w:rsidRPr="00357058" w:rsidRDefault="00A477E3" w:rsidP="00A477E3">
      <w:pPr>
        <w:pStyle w:val="Paragrafoelenco"/>
        <w:numPr>
          <w:ilvl w:val="0"/>
          <w:numId w:val="1"/>
        </w:numPr>
        <w:tabs>
          <w:tab w:val="left" w:pos="1227"/>
        </w:tabs>
        <w:rPr>
          <w:rFonts w:ascii="Arial" w:hAnsi="Arial" w:cs="Arial"/>
          <w:b/>
          <w:color w:val="C00000"/>
        </w:rPr>
      </w:pPr>
      <w:r w:rsidRPr="00357058">
        <w:rPr>
          <w:rFonts w:ascii="Arial" w:hAnsi="Arial" w:cs="Arial"/>
          <w:b/>
        </w:rPr>
        <w:t xml:space="preserve">Nei neonati </w:t>
      </w:r>
    </w:p>
    <w:p w:rsidR="00A477E3" w:rsidRPr="00357058" w:rsidRDefault="00A477E3" w:rsidP="00A477E3">
      <w:pPr>
        <w:numPr>
          <w:ilvl w:val="0"/>
          <w:numId w:val="3"/>
        </w:numPr>
        <w:tabs>
          <w:tab w:val="left" w:pos="1227"/>
        </w:tabs>
        <w:rPr>
          <w:rFonts w:ascii="Arial" w:hAnsi="Arial" w:cs="Arial"/>
          <w:b/>
          <w:color w:val="C00000"/>
          <w:highlight w:val="yellow"/>
        </w:rPr>
      </w:pPr>
      <w:r w:rsidRPr="00357058">
        <w:rPr>
          <w:rFonts w:ascii="Arial" w:hAnsi="Arial" w:cs="Arial"/>
          <w:b/>
          <w:color w:val="C00000"/>
          <w:highlight w:val="yellow"/>
        </w:rPr>
        <w:t>Emocromo con formula</w:t>
      </w:r>
    </w:p>
    <w:p w:rsidR="00A477E3" w:rsidRPr="00357058" w:rsidRDefault="00A477E3" w:rsidP="00A477E3">
      <w:pPr>
        <w:numPr>
          <w:ilvl w:val="0"/>
          <w:numId w:val="3"/>
        </w:numPr>
        <w:tabs>
          <w:tab w:val="left" w:pos="1227"/>
        </w:tabs>
        <w:rPr>
          <w:rFonts w:ascii="Arial" w:hAnsi="Arial" w:cs="Arial"/>
          <w:b/>
          <w:color w:val="C00000"/>
          <w:highlight w:val="yellow"/>
        </w:rPr>
      </w:pPr>
      <w:r w:rsidRPr="00357058">
        <w:rPr>
          <w:rFonts w:ascii="Arial" w:hAnsi="Arial" w:cs="Arial"/>
          <w:b/>
          <w:color w:val="C00000"/>
          <w:highlight w:val="yellow"/>
        </w:rPr>
        <w:t>Emocoltura</w:t>
      </w:r>
    </w:p>
    <w:p w:rsidR="00A477E3" w:rsidRPr="00357058" w:rsidRDefault="00A477E3" w:rsidP="00A477E3">
      <w:pPr>
        <w:numPr>
          <w:ilvl w:val="0"/>
          <w:numId w:val="3"/>
        </w:numPr>
        <w:tabs>
          <w:tab w:val="left" w:pos="1227"/>
        </w:tabs>
        <w:rPr>
          <w:rFonts w:ascii="Arial" w:hAnsi="Arial" w:cs="Arial"/>
          <w:b/>
          <w:color w:val="C00000"/>
          <w:highlight w:val="yellow"/>
        </w:rPr>
      </w:pPr>
      <w:r w:rsidRPr="00357058">
        <w:rPr>
          <w:rFonts w:ascii="Arial" w:hAnsi="Arial" w:cs="Arial"/>
          <w:b/>
          <w:color w:val="C00000"/>
          <w:highlight w:val="yellow"/>
        </w:rPr>
        <w:t>Esame urine e urino-coltura</w:t>
      </w:r>
    </w:p>
    <w:p w:rsidR="00A477E3" w:rsidRPr="00357058" w:rsidRDefault="00A477E3" w:rsidP="00A477E3">
      <w:pPr>
        <w:numPr>
          <w:ilvl w:val="0"/>
          <w:numId w:val="3"/>
        </w:numPr>
        <w:tabs>
          <w:tab w:val="left" w:pos="1227"/>
        </w:tabs>
        <w:rPr>
          <w:rFonts w:ascii="Arial" w:hAnsi="Arial" w:cs="Arial"/>
          <w:b/>
          <w:color w:val="C00000"/>
          <w:highlight w:val="yellow"/>
        </w:rPr>
      </w:pPr>
      <w:r w:rsidRPr="00357058">
        <w:rPr>
          <w:rFonts w:ascii="Arial" w:hAnsi="Arial" w:cs="Arial"/>
          <w:b/>
          <w:color w:val="C00000"/>
          <w:highlight w:val="yellow"/>
        </w:rPr>
        <w:t>Rachicentesi (HSV PCR</w:t>
      </w:r>
      <w:r w:rsidR="006506D0" w:rsidRPr="00357058">
        <w:rPr>
          <w:rFonts w:ascii="Arial" w:hAnsi="Arial" w:cs="Arial"/>
          <w:b/>
          <w:color w:val="C00000"/>
          <w:highlight w:val="yellow"/>
        </w:rPr>
        <w:t xml:space="preserve"> non è raccomandata di routine)</w:t>
      </w:r>
    </w:p>
    <w:p w:rsidR="00A477E3" w:rsidRPr="00357058" w:rsidRDefault="00A477E3" w:rsidP="00A477E3">
      <w:pPr>
        <w:numPr>
          <w:ilvl w:val="0"/>
          <w:numId w:val="3"/>
        </w:numPr>
        <w:tabs>
          <w:tab w:val="left" w:pos="1227"/>
        </w:tabs>
        <w:rPr>
          <w:rFonts w:ascii="Arial" w:hAnsi="Arial" w:cs="Arial"/>
          <w:b/>
          <w:color w:val="C00000"/>
          <w:highlight w:val="yellow"/>
        </w:rPr>
      </w:pPr>
      <w:r w:rsidRPr="00357058">
        <w:rPr>
          <w:rFonts w:ascii="Arial" w:hAnsi="Arial" w:cs="Arial"/>
          <w:b/>
          <w:color w:val="C00000"/>
          <w:highlight w:val="yellow"/>
        </w:rPr>
        <w:t>Coprocoltura se diarrea</w:t>
      </w:r>
    </w:p>
    <w:p w:rsidR="00A477E3" w:rsidRPr="00357058" w:rsidRDefault="00A477E3" w:rsidP="00A477E3">
      <w:pPr>
        <w:numPr>
          <w:ilvl w:val="0"/>
          <w:numId w:val="3"/>
        </w:numPr>
        <w:tabs>
          <w:tab w:val="left" w:pos="1227"/>
        </w:tabs>
        <w:rPr>
          <w:rFonts w:ascii="Arial" w:hAnsi="Arial" w:cs="Arial"/>
          <w:b/>
          <w:color w:val="C00000"/>
          <w:highlight w:val="yellow"/>
        </w:rPr>
      </w:pPr>
      <w:r w:rsidRPr="00357058">
        <w:rPr>
          <w:rFonts w:ascii="Arial" w:hAnsi="Arial" w:cs="Arial"/>
          <w:b/>
          <w:color w:val="C00000"/>
          <w:highlight w:val="yellow"/>
        </w:rPr>
        <w:t>Rx Torace se sintomi toracici</w:t>
      </w:r>
    </w:p>
    <w:p w:rsidR="00A477E3" w:rsidRPr="00357058" w:rsidRDefault="00A477E3" w:rsidP="00A477E3">
      <w:pPr>
        <w:numPr>
          <w:ilvl w:val="0"/>
          <w:numId w:val="3"/>
        </w:numPr>
        <w:tabs>
          <w:tab w:val="left" w:pos="1227"/>
        </w:tabs>
        <w:rPr>
          <w:rFonts w:ascii="Arial" w:hAnsi="Arial" w:cs="Arial"/>
          <w:b/>
          <w:color w:val="C00000"/>
          <w:highlight w:val="yellow"/>
        </w:rPr>
      </w:pPr>
      <w:r w:rsidRPr="00357058">
        <w:rPr>
          <w:rFonts w:ascii="Arial" w:hAnsi="Arial" w:cs="Arial"/>
          <w:b/>
          <w:color w:val="C00000"/>
          <w:highlight w:val="yellow"/>
        </w:rPr>
        <w:t>La PCR per HSV è raccomandata se c’è pleocitosi liquorale e se le colture batteriche sono negative.</w:t>
      </w:r>
    </w:p>
    <w:p w:rsidR="00A477E3" w:rsidRPr="00BC0995" w:rsidRDefault="00A477E3" w:rsidP="00A477E3">
      <w:pPr>
        <w:tabs>
          <w:tab w:val="left" w:pos="1227"/>
        </w:tabs>
        <w:rPr>
          <w:rFonts w:ascii="Arial" w:hAnsi="Arial" w:cs="Arial"/>
        </w:rPr>
      </w:pPr>
    </w:p>
    <w:p w:rsidR="00A477E3" w:rsidRPr="007C0EF3" w:rsidRDefault="007C0EF3" w:rsidP="00A477E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C0EF3">
        <w:rPr>
          <w:rFonts w:ascii="Arial" w:hAnsi="Arial" w:cs="Arial"/>
          <w:b/>
        </w:rPr>
        <w:t>Nel lattante e nel bambino</w:t>
      </w:r>
    </w:p>
    <w:p w:rsidR="00A477E3" w:rsidRPr="00BC0995" w:rsidRDefault="00A477E3" w:rsidP="00A477E3">
      <w:pPr>
        <w:numPr>
          <w:ilvl w:val="0"/>
          <w:numId w:val="10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Esame e</w:t>
      </w:r>
      <w:r w:rsidR="00D02072" w:rsidRPr="00BC0995">
        <w:rPr>
          <w:rFonts w:ascii="Arial" w:hAnsi="Arial" w:cs="Arial"/>
          <w:b/>
          <w:color w:val="C00000"/>
        </w:rPr>
        <w:t>mocromocitometrico con formula</w:t>
      </w:r>
    </w:p>
    <w:p w:rsidR="00D02072" w:rsidRPr="00BC0995" w:rsidRDefault="00A477E3" w:rsidP="00D02072">
      <w:pPr>
        <w:numPr>
          <w:ilvl w:val="0"/>
          <w:numId w:val="10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Striscio periferico</w:t>
      </w:r>
      <w:r w:rsidR="00D02072" w:rsidRPr="00BC0995">
        <w:rPr>
          <w:rFonts w:ascii="Arial" w:hAnsi="Arial" w:cs="Arial"/>
          <w:b/>
          <w:color w:val="C00000"/>
        </w:rPr>
        <w:t xml:space="preserve"> </w:t>
      </w:r>
    </w:p>
    <w:p w:rsidR="00D02072" w:rsidRPr="00BC0995" w:rsidRDefault="00D02072" w:rsidP="00D02072">
      <w:pPr>
        <w:numPr>
          <w:ilvl w:val="0"/>
          <w:numId w:val="10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PCR</w:t>
      </w:r>
    </w:p>
    <w:p w:rsidR="00A477E3" w:rsidRPr="00BC0995" w:rsidRDefault="00D02072" w:rsidP="00D02072">
      <w:pPr>
        <w:numPr>
          <w:ilvl w:val="0"/>
          <w:numId w:val="10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Emocoltura (3 separate, possibilmente prima d’iniziare la terapia antibiotica)</w:t>
      </w:r>
    </w:p>
    <w:p w:rsidR="00D02072" w:rsidRPr="00BC0995" w:rsidRDefault="00D02072" w:rsidP="00D02072">
      <w:pPr>
        <w:numPr>
          <w:ilvl w:val="0"/>
          <w:numId w:val="10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 xml:space="preserve">Funzionalità epatica, renale, LDH, Trigliceridi, Ferritina </w:t>
      </w:r>
    </w:p>
    <w:p w:rsidR="00D02072" w:rsidRPr="00BC0995" w:rsidRDefault="00D02072" w:rsidP="00D02072">
      <w:pPr>
        <w:numPr>
          <w:ilvl w:val="0"/>
          <w:numId w:val="12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Sierologia per EBV, CMV, TOXO, HIV</w:t>
      </w:r>
      <w:r w:rsidR="002C6342">
        <w:rPr>
          <w:rFonts w:ascii="Arial" w:hAnsi="Arial" w:cs="Arial"/>
          <w:b/>
          <w:color w:val="C00000"/>
        </w:rPr>
        <w:t xml:space="preserve">, </w:t>
      </w:r>
      <w:proofErr w:type="spellStart"/>
      <w:r w:rsidR="002C6342">
        <w:rPr>
          <w:rFonts w:ascii="Arial" w:hAnsi="Arial" w:cs="Arial"/>
          <w:b/>
          <w:color w:val="C00000"/>
        </w:rPr>
        <w:t>Widal</w:t>
      </w:r>
      <w:proofErr w:type="spellEnd"/>
      <w:r w:rsidR="002C6342">
        <w:rPr>
          <w:rFonts w:ascii="Arial" w:hAnsi="Arial" w:cs="Arial"/>
          <w:b/>
          <w:color w:val="C00000"/>
        </w:rPr>
        <w:t xml:space="preserve"> Wright, </w:t>
      </w:r>
      <w:proofErr w:type="spellStart"/>
      <w:r w:rsidR="002C6342">
        <w:rPr>
          <w:rFonts w:ascii="Arial" w:hAnsi="Arial" w:cs="Arial"/>
          <w:b/>
          <w:color w:val="C00000"/>
        </w:rPr>
        <w:t>Mycoplasma</w:t>
      </w:r>
      <w:proofErr w:type="spellEnd"/>
      <w:r w:rsidR="002C6342">
        <w:rPr>
          <w:rFonts w:ascii="Arial" w:hAnsi="Arial" w:cs="Arial"/>
          <w:b/>
          <w:color w:val="C00000"/>
        </w:rPr>
        <w:t xml:space="preserve"> Leishmania</w:t>
      </w:r>
    </w:p>
    <w:p w:rsidR="00D02072" w:rsidRPr="00BC0995" w:rsidRDefault="00D02072" w:rsidP="00D02072">
      <w:pPr>
        <w:numPr>
          <w:ilvl w:val="0"/>
          <w:numId w:val="12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 xml:space="preserve">ANA </w:t>
      </w:r>
    </w:p>
    <w:p w:rsidR="00D02072" w:rsidRPr="00BC0995" w:rsidRDefault="00D02072" w:rsidP="00D02072">
      <w:pPr>
        <w:numPr>
          <w:ilvl w:val="0"/>
          <w:numId w:val="12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Mantoux</w:t>
      </w:r>
    </w:p>
    <w:p w:rsidR="00A477E3" w:rsidRDefault="00D02072" w:rsidP="00A477E3">
      <w:pPr>
        <w:numPr>
          <w:ilvl w:val="0"/>
          <w:numId w:val="10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Tampone faringeo</w:t>
      </w:r>
    </w:p>
    <w:p w:rsidR="00EB4A9A" w:rsidRPr="00EB4A9A" w:rsidRDefault="00EB4A9A" w:rsidP="00EB4A9A">
      <w:pPr>
        <w:numPr>
          <w:ilvl w:val="0"/>
          <w:numId w:val="10"/>
        </w:numPr>
        <w:jc w:val="both"/>
        <w:rPr>
          <w:rFonts w:ascii="Arial" w:hAnsi="Arial" w:cs="Arial"/>
          <w:b/>
          <w:color w:val="C00000"/>
        </w:rPr>
      </w:pPr>
      <w:r w:rsidRPr="00EB4A9A">
        <w:rPr>
          <w:rFonts w:ascii="Arial" w:hAnsi="Arial" w:cs="Arial"/>
          <w:b/>
          <w:color w:val="C00000"/>
        </w:rPr>
        <w:t>Coprocoltura, Parassitologico delle feci</w:t>
      </w:r>
      <w:r>
        <w:rPr>
          <w:rFonts w:ascii="Arial" w:hAnsi="Arial" w:cs="Arial"/>
          <w:b/>
          <w:color w:val="C00000"/>
        </w:rPr>
        <w:t xml:space="preserve"> </w:t>
      </w:r>
    </w:p>
    <w:p w:rsidR="00A477E3" w:rsidRPr="00BC0995" w:rsidRDefault="00A477E3" w:rsidP="00D02072">
      <w:pPr>
        <w:numPr>
          <w:ilvl w:val="0"/>
          <w:numId w:val="10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lastRenderedPageBreak/>
        <w:t xml:space="preserve">Esame urine con </w:t>
      </w:r>
      <w:r w:rsidR="00D02072" w:rsidRPr="00BC0995">
        <w:rPr>
          <w:rFonts w:ascii="Arial" w:hAnsi="Arial" w:cs="Arial"/>
          <w:b/>
          <w:color w:val="C00000"/>
        </w:rPr>
        <w:t xml:space="preserve"> studio del </w:t>
      </w:r>
      <w:r w:rsidRPr="00BC0995">
        <w:rPr>
          <w:rFonts w:ascii="Arial" w:hAnsi="Arial" w:cs="Arial"/>
          <w:b/>
          <w:color w:val="C00000"/>
        </w:rPr>
        <w:t xml:space="preserve">sedimento, urinocoltura </w:t>
      </w:r>
    </w:p>
    <w:p w:rsidR="00A477E3" w:rsidRPr="00BC0995" w:rsidRDefault="00A477E3" w:rsidP="00A477E3">
      <w:pPr>
        <w:numPr>
          <w:ilvl w:val="0"/>
          <w:numId w:val="12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Rx Torace</w:t>
      </w:r>
    </w:p>
    <w:p w:rsidR="00A477E3" w:rsidRPr="00BC0995" w:rsidRDefault="00A477E3" w:rsidP="00A477E3">
      <w:pPr>
        <w:numPr>
          <w:ilvl w:val="0"/>
          <w:numId w:val="12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Eco addome con valutazione reni e vie urinarie (</w:t>
      </w:r>
      <w:r w:rsidR="00D02072" w:rsidRPr="00BC0995">
        <w:rPr>
          <w:rFonts w:ascii="Arial" w:hAnsi="Arial" w:cs="Arial"/>
          <w:b/>
          <w:color w:val="C00000"/>
        </w:rPr>
        <w:t xml:space="preserve"> particolare attenzione ad a</w:t>
      </w:r>
      <w:r w:rsidRPr="00BC0995">
        <w:rPr>
          <w:rFonts w:ascii="Arial" w:hAnsi="Arial" w:cs="Arial"/>
          <w:b/>
          <w:color w:val="C00000"/>
        </w:rPr>
        <w:t>scessi addominali, versamento per</w:t>
      </w:r>
      <w:r w:rsidR="00D02072" w:rsidRPr="00BC0995">
        <w:rPr>
          <w:rFonts w:ascii="Arial" w:hAnsi="Arial" w:cs="Arial"/>
          <w:b/>
          <w:color w:val="C00000"/>
        </w:rPr>
        <w:t>itoneale, segni di pielonefrite</w:t>
      </w:r>
      <w:r w:rsidRPr="00BC0995">
        <w:rPr>
          <w:rFonts w:ascii="Arial" w:hAnsi="Arial" w:cs="Arial"/>
          <w:b/>
          <w:color w:val="C00000"/>
        </w:rPr>
        <w:t>)</w:t>
      </w:r>
    </w:p>
    <w:p w:rsidR="00A477E3" w:rsidRPr="00BC0995" w:rsidRDefault="00A477E3" w:rsidP="00A477E3">
      <w:pPr>
        <w:numPr>
          <w:ilvl w:val="0"/>
          <w:numId w:val="12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Ecocardiografia</w:t>
      </w:r>
    </w:p>
    <w:p w:rsidR="00A477E3" w:rsidRPr="00BC0995" w:rsidRDefault="00A477E3" w:rsidP="00A477E3">
      <w:pPr>
        <w:jc w:val="both"/>
        <w:rPr>
          <w:rFonts w:ascii="Arial" w:hAnsi="Arial" w:cs="Arial"/>
        </w:rPr>
      </w:pPr>
    </w:p>
    <w:p w:rsidR="00A477E3" w:rsidRPr="00BC0995" w:rsidRDefault="00A477E3" w:rsidP="00A477E3">
      <w:pPr>
        <w:jc w:val="both"/>
        <w:rPr>
          <w:rFonts w:ascii="Arial" w:hAnsi="Arial" w:cs="Arial"/>
        </w:rPr>
      </w:pPr>
      <w:r w:rsidRPr="00BC0995">
        <w:rPr>
          <w:rFonts w:ascii="Arial" w:hAnsi="Arial" w:cs="Arial"/>
        </w:rPr>
        <w:t>Se l’anamnesi, l’esame obiettivo e gli esami orientano verso una diagnosi perseguire le indagini che portano alla stessa altrimenti passare a quelle di secondo livello.</w:t>
      </w:r>
    </w:p>
    <w:p w:rsidR="00A477E3" w:rsidRPr="00BC0995" w:rsidRDefault="00A477E3" w:rsidP="00A477E3">
      <w:pPr>
        <w:jc w:val="both"/>
        <w:rPr>
          <w:rFonts w:ascii="Arial" w:hAnsi="Arial" w:cs="Arial"/>
        </w:rPr>
      </w:pPr>
    </w:p>
    <w:p w:rsidR="00A477E3" w:rsidRPr="00BC0995" w:rsidRDefault="00A477E3" w:rsidP="00A477E3">
      <w:pPr>
        <w:jc w:val="both"/>
        <w:rPr>
          <w:rFonts w:ascii="Arial" w:hAnsi="Arial" w:cs="Arial"/>
          <w:b/>
        </w:rPr>
      </w:pPr>
      <w:r w:rsidRPr="00BC0995">
        <w:rPr>
          <w:rFonts w:ascii="Arial" w:hAnsi="Arial" w:cs="Arial"/>
          <w:b/>
        </w:rPr>
        <w:t>Indagini di 2° livello:</w:t>
      </w:r>
    </w:p>
    <w:p w:rsidR="00A477E3" w:rsidRPr="00BC0995" w:rsidRDefault="00A477E3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Funzionalità tiroidea</w:t>
      </w:r>
    </w:p>
    <w:p w:rsidR="00357058" w:rsidRDefault="00A477E3" w:rsidP="00357058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ENA</w:t>
      </w:r>
      <w:r w:rsidR="00357058">
        <w:rPr>
          <w:rFonts w:ascii="Arial" w:hAnsi="Arial" w:cs="Arial"/>
          <w:b/>
          <w:color w:val="C00000"/>
        </w:rPr>
        <w:t>-Profile</w:t>
      </w:r>
    </w:p>
    <w:p w:rsidR="00357058" w:rsidRPr="00357058" w:rsidRDefault="00357058" w:rsidP="00357058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p-ANCA, ASCA</w:t>
      </w:r>
    </w:p>
    <w:p w:rsidR="00A477E3" w:rsidRPr="00BC0995" w:rsidRDefault="00A477E3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 xml:space="preserve">C3-C4 </w:t>
      </w:r>
    </w:p>
    <w:p w:rsidR="00A477E3" w:rsidRPr="00BC0995" w:rsidRDefault="00A477E3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Ig totali</w:t>
      </w:r>
    </w:p>
    <w:p w:rsidR="00A477E3" w:rsidRPr="00BC0995" w:rsidRDefault="00A477E3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Sottopopolazioni linfocitarie</w:t>
      </w:r>
    </w:p>
    <w:p w:rsidR="00A477E3" w:rsidRPr="00BC0995" w:rsidRDefault="00A477E3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VMA/HVA</w:t>
      </w:r>
    </w:p>
    <w:p w:rsidR="0073061C" w:rsidRPr="00EB4A9A" w:rsidRDefault="0073061C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EB4A9A">
        <w:rPr>
          <w:rFonts w:ascii="Arial" w:hAnsi="Arial" w:cs="Arial"/>
          <w:b/>
          <w:color w:val="C00000"/>
        </w:rPr>
        <w:t>Eli-Spot, Quantiferon-TB-Gold</w:t>
      </w:r>
    </w:p>
    <w:p w:rsidR="006B4C8F" w:rsidRDefault="006B4C8F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Sierologia e/o </w:t>
      </w:r>
      <w:proofErr w:type="spellStart"/>
      <w:r>
        <w:rPr>
          <w:rFonts w:ascii="Arial" w:hAnsi="Arial" w:cs="Arial"/>
          <w:b/>
          <w:color w:val="C00000"/>
        </w:rPr>
        <w:t>antigenemia</w:t>
      </w:r>
      <w:proofErr w:type="spellEnd"/>
      <w:r>
        <w:rPr>
          <w:rFonts w:ascii="Arial" w:hAnsi="Arial" w:cs="Arial"/>
          <w:b/>
          <w:color w:val="C00000"/>
        </w:rPr>
        <w:t xml:space="preserve"> per</w:t>
      </w:r>
      <w:r w:rsidR="002C6342">
        <w:rPr>
          <w:rFonts w:ascii="Arial" w:hAnsi="Arial" w:cs="Arial"/>
          <w:b/>
          <w:color w:val="C00000"/>
        </w:rPr>
        <w:t xml:space="preserve"> (Epatite A,B,C,  </w:t>
      </w:r>
      <w:r w:rsidR="00D02072" w:rsidRPr="00BC0995">
        <w:rPr>
          <w:rFonts w:ascii="Arial" w:hAnsi="Arial" w:cs="Arial"/>
          <w:b/>
          <w:color w:val="C00000"/>
        </w:rPr>
        <w:t xml:space="preserve">VDRL, </w:t>
      </w:r>
      <w:proofErr w:type="spellStart"/>
      <w:r w:rsidR="00D02072" w:rsidRPr="00BC0995">
        <w:rPr>
          <w:rFonts w:ascii="Arial" w:hAnsi="Arial" w:cs="Arial"/>
          <w:b/>
          <w:color w:val="C00000"/>
        </w:rPr>
        <w:t>Borre</w:t>
      </w:r>
      <w:r w:rsidR="00F34603">
        <w:rPr>
          <w:rFonts w:ascii="Arial" w:hAnsi="Arial" w:cs="Arial"/>
          <w:b/>
          <w:color w:val="C00000"/>
        </w:rPr>
        <w:t>lia</w:t>
      </w:r>
      <w:proofErr w:type="spellEnd"/>
      <w:r w:rsidR="00F34603">
        <w:rPr>
          <w:rFonts w:ascii="Arial" w:hAnsi="Arial" w:cs="Arial"/>
          <w:b/>
          <w:color w:val="C00000"/>
        </w:rPr>
        <w:t xml:space="preserve">, </w:t>
      </w:r>
      <w:proofErr w:type="spellStart"/>
      <w:r w:rsidR="00F34603">
        <w:rPr>
          <w:rFonts w:ascii="Arial" w:hAnsi="Arial" w:cs="Arial"/>
          <w:b/>
          <w:color w:val="C00000"/>
        </w:rPr>
        <w:t>Bartonella</w:t>
      </w:r>
      <w:proofErr w:type="spellEnd"/>
      <w:r w:rsidR="00F34603">
        <w:rPr>
          <w:rFonts w:ascii="Arial" w:hAnsi="Arial" w:cs="Arial"/>
          <w:b/>
          <w:color w:val="C00000"/>
        </w:rPr>
        <w:t xml:space="preserve">, </w:t>
      </w:r>
      <w:proofErr w:type="spellStart"/>
      <w:r w:rsidR="00F34603">
        <w:rPr>
          <w:rFonts w:ascii="Arial" w:hAnsi="Arial" w:cs="Arial"/>
          <w:b/>
          <w:color w:val="C00000"/>
        </w:rPr>
        <w:t>Chlamydia</w:t>
      </w:r>
      <w:proofErr w:type="spellEnd"/>
      <w:r w:rsidR="00F34603">
        <w:rPr>
          <w:rFonts w:ascii="Arial" w:hAnsi="Arial" w:cs="Arial"/>
          <w:b/>
          <w:color w:val="C00000"/>
        </w:rPr>
        <w:t xml:space="preserve"> </w:t>
      </w:r>
      <w:proofErr w:type="spellStart"/>
      <w:r w:rsidR="00F34603">
        <w:rPr>
          <w:rFonts w:ascii="Arial" w:hAnsi="Arial" w:cs="Arial"/>
          <w:b/>
          <w:color w:val="C00000"/>
        </w:rPr>
        <w:t>P</w:t>
      </w:r>
      <w:r w:rsidR="00A477E3" w:rsidRPr="00BC0995">
        <w:rPr>
          <w:rFonts w:ascii="Arial" w:hAnsi="Arial" w:cs="Arial"/>
          <w:b/>
          <w:color w:val="C00000"/>
        </w:rPr>
        <w:t>sitta</w:t>
      </w:r>
      <w:r w:rsidR="002C6342">
        <w:rPr>
          <w:rFonts w:ascii="Arial" w:hAnsi="Arial" w:cs="Arial"/>
          <w:b/>
          <w:color w:val="C00000"/>
        </w:rPr>
        <w:t>ci</w:t>
      </w:r>
      <w:proofErr w:type="spellEnd"/>
      <w:r w:rsidR="002C6342">
        <w:rPr>
          <w:rFonts w:ascii="Arial" w:hAnsi="Arial" w:cs="Arial"/>
          <w:b/>
          <w:color w:val="C00000"/>
        </w:rPr>
        <w:t xml:space="preserve"> e </w:t>
      </w:r>
      <w:proofErr w:type="spellStart"/>
      <w:r w:rsidR="002C6342">
        <w:rPr>
          <w:rFonts w:ascii="Arial" w:hAnsi="Arial" w:cs="Arial"/>
          <w:b/>
          <w:color w:val="C00000"/>
        </w:rPr>
        <w:t>Pneumoniae</w:t>
      </w:r>
      <w:proofErr w:type="spellEnd"/>
      <w:r w:rsidR="002C6342">
        <w:rPr>
          <w:rFonts w:ascii="Arial" w:hAnsi="Arial" w:cs="Arial"/>
          <w:b/>
          <w:color w:val="C00000"/>
        </w:rPr>
        <w:t xml:space="preserve">, </w:t>
      </w:r>
      <w:r w:rsidR="002C6342" w:rsidRPr="00BC0995">
        <w:rPr>
          <w:rFonts w:ascii="Arial" w:hAnsi="Arial" w:cs="Arial"/>
          <w:b/>
          <w:color w:val="C00000"/>
        </w:rPr>
        <w:t xml:space="preserve"> </w:t>
      </w:r>
      <w:proofErr w:type="spellStart"/>
      <w:r w:rsidR="002C6342" w:rsidRPr="00BC0995">
        <w:rPr>
          <w:rFonts w:ascii="Arial" w:hAnsi="Arial" w:cs="Arial"/>
          <w:b/>
          <w:color w:val="C00000"/>
        </w:rPr>
        <w:t>Yersinia</w:t>
      </w:r>
      <w:proofErr w:type="spellEnd"/>
      <w:r w:rsidR="002C6342">
        <w:rPr>
          <w:rFonts w:ascii="Arial" w:hAnsi="Arial" w:cs="Arial"/>
          <w:b/>
          <w:color w:val="C00000"/>
        </w:rPr>
        <w:t xml:space="preserve">, </w:t>
      </w:r>
      <w:r w:rsidR="002C6342" w:rsidRPr="00BC0995">
        <w:rPr>
          <w:rFonts w:ascii="Arial" w:hAnsi="Arial" w:cs="Arial"/>
          <w:b/>
          <w:color w:val="C00000"/>
        </w:rPr>
        <w:t xml:space="preserve">, </w:t>
      </w:r>
      <w:proofErr w:type="spellStart"/>
      <w:r w:rsidR="002C6342" w:rsidRPr="00BC0995">
        <w:rPr>
          <w:rFonts w:ascii="Arial" w:hAnsi="Arial" w:cs="Arial"/>
          <w:b/>
          <w:color w:val="C00000"/>
        </w:rPr>
        <w:t>Yersinia</w:t>
      </w:r>
      <w:proofErr w:type="spellEnd"/>
      <w:r w:rsidR="002C6342" w:rsidRPr="00BC0995">
        <w:rPr>
          <w:rFonts w:ascii="Arial" w:hAnsi="Arial" w:cs="Arial"/>
          <w:b/>
          <w:color w:val="C00000"/>
        </w:rPr>
        <w:t>, Leishmania</w:t>
      </w:r>
      <w:r w:rsidR="0073061C" w:rsidRPr="00BC0995">
        <w:rPr>
          <w:rFonts w:ascii="Arial" w:hAnsi="Arial" w:cs="Arial"/>
          <w:b/>
          <w:color w:val="C00000"/>
        </w:rPr>
        <w:t>).</w:t>
      </w:r>
    </w:p>
    <w:p w:rsidR="00A477E3" w:rsidRPr="00BC0995" w:rsidRDefault="006B4C8F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Antigenuria per Legionella, Blastomyces</w:t>
      </w:r>
    </w:p>
    <w:p w:rsidR="0073061C" w:rsidRPr="00BC0995" w:rsidRDefault="0073061C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proofErr w:type="spellStart"/>
      <w:r w:rsidRPr="00BC0995">
        <w:rPr>
          <w:rFonts w:ascii="Arial" w:hAnsi="Arial" w:cs="Arial"/>
          <w:b/>
          <w:color w:val="C00000"/>
        </w:rPr>
        <w:t>Mannano</w:t>
      </w:r>
      <w:proofErr w:type="spellEnd"/>
      <w:r w:rsidRPr="00BC0995">
        <w:rPr>
          <w:rFonts w:ascii="Arial" w:hAnsi="Arial" w:cs="Arial"/>
          <w:b/>
          <w:color w:val="C00000"/>
        </w:rPr>
        <w:t xml:space="preserve">, </w:t>
      </w:r>
      <w:proofErr w:type="spellStart"/>
      <w:r w:rsidRPr="00BC0995">
        <w:rPr>
          <w:rFonts w:ascii="Arial" w:hAnsi="Arial" w:cs="Arial"/>
          <w:b/>
          <w:color w:val="C00000"/>
        </w:rPr>
        <w:t>G</w:t>
      </w:r>
      <w:r w:rsidR="002C6342">
        <w:rPr>
          <w:rFonts w:ascii="Arial" w:hAnsi="Arial" w:cs="Arial"/>
          <w:b/>
          <w:color w:val="C00000"/>
        </w:rPr>
        <w:t>a</w:t>
      </w:r>
      <w:r w:rsidRPr="00BC0995">
        <w:rPr>
          <w:rFonts w:ascii="Arial" w:hAnsi="Arial" w:cs="Arial"/>
          <w:b/>
          <w:color w:val="C00000"/>
        </w:rPr>
        <w:t>lattomannano</w:t>
      </w:r>
      <w:proofErr w:type="spellEnd"/>
      <w:r w:rsidRPr="00BC0995">
        <w:rPr>
          <w:rFonts w:ascii="Arial" w:hAnsi="Arial" w:cs="Arial"/>
          <w:b/>
          <w:color w:val="C00000"/>
        </w:rPr>
        <w:t xml:space="preserve">, </w:t>
      </w:r>
      <w:proofErr w:type="spellStart"/>
      <w:r w:rsidRPr="00BC0995">
        <w:rPr>
          <w:rFonts w:ascii="Arial" w:hAnsi="Arial" w:cs="Arial"/>
          <w:b/>
          <w:color w:val="C00000"/>
        </w:rPr>
        <w:t>IgE</w:t>
      </w:r>
      <w:proofErr w:type="spellEnd"/>
      <w:r w:rsidRPr="00BC0995">
        <w:rPr>
          <w:rFonts w:ascii="Arial" w:hAnsi="Arial" w:cs="Arial"/>
          <w:b/>
          <w:color w:val="C00000"/>
        </w:rPr>
        <w:t xml:space="preserve"> specifiche per Aspergillo</w:t>
      </w:r>
    </w:p>
    <w:p w:rsidR="00B11F3B" w:rsidRPr="00BC0995" w:rsidRDefault="00B11F3B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Aspirato Midollare</w:t>
      </w:r>
    </w:p>
    <w:p w:rsidR="00A477E3" w:rsidRPr="00BC0995" w:rsidRDefault="00A477E3" w:rsidP="00A477E3">
      <w:pPr>
        <w:numPr>
          <w:ilvl w:val="0"/>
          <w:numId w:val="7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Fondo oculare + esame con lampada a fessura</w:t>
      </w:r>
    </w:p>
    <w:p w:rsidR="00A477E3" w:rsidRPr="00BC0995" w:rsidRDefault="00A477E3" w:rsidP="00A477E3">
      <w:pPr>
        <w:numPr>
          <w:ilvl w:val="0"/>
          <w:numId w:val="8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Batteriologia avanzata (colture dell’aspirato gastrico, dell’espettorato, del liquor,  PCR, colture d’organo)</w:t>
      </w:r>
    </w:p>
    <w:p w:rsidR="00A477E3" w:rsidRPr="00BC0995" w:rsidRDefault="00A477E3" w:rsidP="00A477E3">
      <w:pPr>
        <w:numPr>
          <w:ilvl w:val="0"/>
          <w:numId w:val="8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 xml:space="preserve">TAC cranio addome e torace con M.D.C </w:t>
      </w:r>
    </w:p>
    <w:p w:rsidR="00A477E3" w:rsidRPr="00BC0995" w:rsidRDefault="00A477E3" w:rsidP="00A477E3">
      <w:pPr>
        <w:numPr>
          <w:ilvl w:val="0"/>
          <w:numId w:val="8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RMN addome e torace</w:t>
      </w:r>
    </w:p>
    <w:p w:rsidR="00A477E3" w:rsidRPr="00BC0995" w:rsidRDefault="00A477E3" w:rsidP="00A477E3">
      <w:pPr>
        <w:jc w:val="both"/>
        <w:rPr>
          <w:rFonts w:ascii="Arial" w:hAnsi="Arial" w:cs="Arial"/>
        </w:rPr>
      </w:pPr>
    </w:p>
    <w:p w:rsidR="00A477E3" w:rsidRPr="00BC0995" w:rsidRDefault="00A477E3" w:rsidP="00A477E3">
      <w:pPr>
        <w:jc w:val="both"/>
        <w:rPr>
          <w:rFonts w:ascii="Arial" w:hAnsi="Arial" w:cs="Arial"/>
        </w:rPr>
      </w:pPr>
    </w:p>
    <w:p w:rsidR="00A477E3" w:rsidRDefault="00A477E3" w:rsidP="00A477E3">
      <w:pPr>
        <w:jc w:val="both"/>
        <w:rPr>
          <w:rFonts w:ascii="Arial" w:hAnsi="Arial" w:cs="Arial"/>
          <w:b/>
        </w:rPr>
      </w:pPr>
      <w:r w:rsidRPr="00BC0995">
        <w:rPr>
          <w:rFonts w:ascii="Arial" w:hAnsi="Arial" w:cs="Arial"/>
        </w:rPr>
        <w:t xml:space="preserve">   </w:t>
      </w:r>
      <w:r w:rsidRPr="00BC0995">
        <w:rPr>
          <w:rFonts w:ascii="Arial" w:hAnsi="Arial" w:cs="Arial"/>
          <w:b/>
        </w:rPr>
        <w:t xml:space="preserve">Indagini di 3° livello: </w:t>
      </w:r>
    </w:p>
    <w:p w:rsidR="002C6342" w:rsidRPr="00BC0995" w:rsidRDefault="002C6342" w:rsidP="00A477E3">
      <w:pPr>
        <w:jc w:val="both"/>
        <w:rPr>
          <w:rFonts w:ascii="Arial" w:hAnsi="Arial" w:cs="Arial"/>
          <w:b/>
        </w:rPr>
      </w:pPr>
      <w:proofErr w:type="spellStart"/>
      <w:r w:rsidRPr="00BC0995">
        <w:rPr>
          <w:rFonts w:ascii="Arial" w:hAnsi="Arial" w:cs="Arial"/>
          <w:b/>
          <w:color w:val="C00000"/>
        </w:rPr>
        <w:t>Coxiella</w:t>
      </w:r>
      <w:proofErr w:type="spellEnd"/>
      <w:r w:rsidRPr="00BC0995">
        <w:rPr>
          <w:rFonts w:ascii="Arial" w:hAnsi="Arial" w:cs="Arial"/>
          <w:b/>
          <w:color w:val="C00000"/>
        </w:rPr>
        <w:t xml:space="preserve"> </w:t>
      </w:r>
      <w:proofErr w:type="spellStart"/>
      <w:r w:rsidRPr="00BC0995">
        <w:rPr>
          <w:rFonts w:ascii="Arial" w:hAnsi="Arial" w:cs="Arial"/>
          <w:b/>
          <w:color w:val="C00000"/>
        </w:rPr>
        <w:t>Burneti</w:t>
      </w:r>
      <w:proofErr w:type="spellEnd"/>
      <w:r>
        <w:rPr>
          <w:rFonts w:ascii="Arial" w:hAnsi="Arial" w:cs="Arial"/>
          <w:b/>
          <w:color w:val="C00000"/>
        </w:rPr>
        <w:t xml:space="preserve"> e altre Rickettsie</w:t>
      </w:r>
      <w:r w:rsidRPr="00BC0995">
        <w:rPr>
          <w:rFonts w:ascii="Arial" w:hAnsi="Arial" w:cs="Arial"/>
          <w:b/>
          <w:color w:val="C00000"/>
        </w:rPr>
        <w:t xml:space="preserve">, Brucella, </w:t>
      </w:r>
      <w:proofErr w:type="spellStart"/>
      <w:r w:rsidRPr="00BC0995">
        <w:rPr>
          <w:rFonts w:ascii="Arial" w:hAnsi="Arial" w:cs="Arial"/>
          <w:b/>
          <w:color w:val="C00000"/>
        </w:rPr>
        <w:t>Leptospira</w:t>
      </w:r>
      <w:proofErr w:type="spellEnd"/>
      <w:r w:rsidRPr="00BC0995">
        <w:rPr>
          <w:rFonts w:ascii="Arial" w:hAnsi="Arial" w:cs="Arial"/>
          <w:b/>
          <w:color w:val="C00000"/>
        </w:rPr>
        <w:t xml:space="preserve">, </w:t>
      </w:r>
      <w:proofErr w:type="spellStart"/>
      <w:r w:rsidRPr="00BC0995">
        <w:rPr>
          <w:rFonts w:ascii="Arial" w:hAnsi="Arial" w:cs="Arial"/>
          <w:b/>
          <w:color w:val="C00000"/>
        </w:rPr>
        <w:t>Francisella</w:t>
      </w:r>
      <w:proofErr w:type="spellEnd"/>
      <w:r w:rsidRPr="00BC0995">
        <w:rPr>
          <w:rFonts w:ascii="Arial" w:hAnsi="Arial" w:cs="Arial"/>
          <w:b/>
          <w:color w:val="C00000"/>
        </w:rPr>
        <w:t xml:space="preserve"> </w:t>
      </w:r>
      <w:proofErr w:type="spellStart"/>
      <w:r w:rsidRPr="00BC0995">
        <w:rPr>
          <w:rFonts w:ascii="Arial" w:hAnsi="Arial" w:cs="Arial"/>
          <w:b/>
          <w:color w:val="C00000"/>
        </w:rPr>
        <w:t>Tularensis</w:t>
      </w:r>
      <w:proofErr w:type="spellEnd"/>
      <w:r w:rsidRPr="00BC0995">
        <w:rPr>
          <w:rFonts w:ascii="Arial" w:hAnsi="Arial" w:cs="Arial"/>
          <w:b/>
          <w:color w:val="C00000"/>
        </w:rPr>
        <w:t xml:space="preserve">, </w:t>
      </w:r>
      <w:r>
        <w:rPr>
          <w:rFonts w:ascii="Arial" w:hAnsi="Arial" w:cs="Arial"/>
          <w:b/>
          <w:color w:val="C00000"/>
        </w:rPr>
        <w:t xml:space="preserve">, </w:t>
      </w:r>
      <w:proofErr w:type="spellStart"/>
      <w:r>
        <w:rPr>
          <w:rFonts w:ascii="Arial" w:hAnsi="Arial" w:cs="Arial"/>
          <w:b/>
          <w:color w:val="C00000"/>
        </w:rPr>
        <w:t>Criptococco</w:t>
      </w:r>
      <w:proofErr w:type="spellEnd"/>
      <w:r>
        <w:rPr>
          <w:rFonts w:ascii="Arial" w:hAnsi="Arial" w:cs="Arial"/>
          <w:b/>
          <w:color w:val="C00000"/>
        </w:rPr>
        <w:t xml:space="preserve">, </w:t>
      </w:r>
      <w:proofErr w:type="spellStart"/>
      <w:r>
        <w:rPr>
          <w:rFonts w:ascii="Arial" w:hAnsi="Arial" w:cs="Arial"/>
          <w:b/>
          <w:color w:val="C00000"/>
        </w:rPr>
        <w:t>Istoplasmosi</w:t>
      </w:r>
      <w:proofErr w:type="spellEnd"/>
      <w:r>
        <w:rPr>
          <w:rFonts w:ascii="Arial" w:hAnsi="Arial" w:cs="Arial"/>
          <w:b/>
          <w:color w:val="C00000"/>
        </w:rPr>
        <w:t xml:space="preserve">, </w:t>
      </w:r>
      <w:proofErr w:type="spellStart"/>
      <w:r>
        <w:rPr>
          <w:rFonts w:ascii="Arial" w:hAnsi="Arial" w:cs="Arial"/>
          <w:b/>
          <w:color w:val="C00000"/>
        </w:rPr>
        <w:t>Coccidioides</w:t>
      </w:r>
      <w:proofErr w:type="spellEnd"/>
      <w:r>
        <w:rPr>
          <w:rFonts w:ascii="Arial" w:hAnsi="Arial" w:cs="Arial"/>
          <w:b/>
          <w:color w:val="C00000"/>
        </w:rPr>
        <w:t xml:space="preserve">, </w:t>
      </w:r>
      <w:proofErr w:type="spellStart"/>
      <w:r>
        <w:rPr>
          <w:rFonts w:ascii="Arial" w:hAnsi="Arial" w:cs="Arial"/>
          <w:b/>
          <w:color w:val="C00000"/>
        </w:rPr>
        <w:t>Sporothrix</w:t>
      </w:r>
      <w:proofErr w:type="spellEnd"/>
      <w:r>
        <w:rPr>
          <w:rFonts w:ascii="Arial" w:hAnsi="Arial" w:cs="Arial"/>
          <w:b/>
          <w:color w:val="C00000"/>
        </w:rPr>
        <w:t xml:space="preserve">, </w:t>
      </w:r>
      <w:proofErr w:type="spellStart"/>
      <w:r>
        <w:rPr>
          <w:rFonts w:ascii="Arial" w:hAnsi="Arial" w:cs="Arial"/>
          <w:b/>
          <w:color w:val="C00000"/>
        </w:rPr>
        <w:t>Zigomicieti</w:t>
      </w:r>
      <w:proofErr w:type="spellEnd"/>
      <w:r>
        <w:rPr>
          <w:rFonts w:ascii="Arial" w:hAnsi="Arial" w:cs="Arial"/>
          <w:b/>
          <w:color w:val="C00000"/>
        </w:rPr>
        <w:t xml:space="preserve">, Tripanosomi, </w:t>
      </w:r>
      <w:proofErr w:type="spellStart"/>
      <w:r>
        <w:rPr>
          <w:rFonts w:ascii="Arial" w:hAnsi="Arial" w:cs="Arial"/>
          <w:b/>
          <w:color w:val="C00000"/>
        </w:rPr>
        <w:t>Babesia</w:t>
      </w:r>
      <w:proofErr w:type="spellEnd"/>
      <w:r>
        <w:rPr>
          <w:rFonts w:ascii="Arial" w:hAnsi="Arial" w:cs="Arial"/>
          <w:b/>
          <w:color w:val="C00000"/>
        </w:rPr>
        <w:t>,</w:t>
      </w:r>
      <w:bookmarkStart w:id="0" w:name="_GoBack"/>
      <w:bookmarkEnd w:id="0"/>
      <w:r>
        <w:rPr>
          <w:rFonts w:ascii="Arial" w:hAnsi="Arial" w:cs="Arial"/>
          <w:b/>
          <w:color w:val="C00000"/>
        </w:rPr>
        <w:t xml:space="preserve"> Malaria, </w:t>
      </w:r>
      <w:proofErr w:type="spellStart"/>
      <w:r>
        <w:rPr>
          <w:rFonts w:ascii="Arial" w:hAnsi="Arial" w:cs="Arial"/>
          <w:b/>
          <w:color w:val="C00000"/>
        </w:rPr>
        <w:t>Dengue</w:t>
      </w:r>
      <w:proofErr w:type="spellEnd"/>
      <w:r>
        <w:rPr>
          <w:rFonts w:ascii="Arial" w:hAnsi="Arial" w:cs="Arial"/>
          <w:b/>
          <w:color w:val="C00000"/>
        </w:rPr>
        <w:t>, Febbre gialla</w:t>
      </w:r>
    </w:p>
    <w:p w:rsidR="00A477E3" w:rsidRPr="00BC0995" w:rsidRDefault="00A477E3" w:rsidP="00A477E3">
      <w:pPr>
        <w:numPr>
          <w:ilvl w:val="0"/>
          <w:numId w:val="6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Biopsie d’organo (linfonodo, cute, osso, fegato)</w:t>
      </w:r>
    </w:p>
    <w:p w:rsidR="00A477E3" w:rsidRPr="00BC0995" w:rsidRDefault="00A477E3" w:rsidP="00A477E3">
      <w:pPr>
        <w:numPr>
          <w:ilvl w:val="0"/>
          <w:numId w:val="6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Scintigrafia (Gallio, Tecnezio o leucociti marcati)</w:t>
      </w:r>
    </w:p>
    <w:p w:rsidR="00A477E3" w:rsidRPr="00BC0995" w:rsidRDefault="00A477E3" w:rsidP="00A477E3">
      <w:pPr>
        <w:numPr>
          <w:ilvl w:val="0"/>
          <w:numId w:val="6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Endoscopie (EGDS, Colonoscopia, broncoscopia)</w:t>
      </w:r>
    </w:p>
    <w:p w:rsidR="00A477E3" w:rsidRPr="00BC0995" w:rsidRDefault="00A477E3" w:rsidP="00A477E3">
      <w:pPr>
        <w:numPr>
          <w:ilvl w:val="0"/>
          <w:numId w:val="6"/>
        </w:numPr>
        <w:jc w:val="both"/>
        <w:rPr>
          <w:rFonts w:ascii="Arial" w:hAnsi="Arial" w:cs="Arial"/>
          <w:b/>
          <w:color w:val="C00000"/>
        </w:rPr>
      </w:pPr>
      <w:r w:rsidRPr="00BC0995">
        <w:rPr>
          <w:rFonts w:ascii="Arial" w:hAnsi="Arial" w:cs="Arial"/>
          <w:b/>
          <w:color w:val="C00000"/>
        </w:rPr>
        <w:t>PET-TC</w:t>
      </w:r>
    </w:p>
    <w:p w:rsidR="00A477E3" w:rsidRPr="00BC0995" w:rsidRDefault="00A477E3" w:rsidP="00A477E3">
      <w:pPr>
        <w:pStyle w:val="Default"/>
        <w:rPr>
          <w:rFonts w:ascii="Arial" w:hAnsi="Arial" w:cs="Arial"/>
        </w:rPr>
      </w:pPr>
    </w:p>
    <w:p w:rsidR="00A477E3" w:rsidRPr="00BC0995" w:rsidRDefault="00A477E3" w:rsidP="00A477E3">
      <w:pPr>
        <w:pStyle w:val="Default"/>
        <w:rPr>
          <w:rFonts w:ascii="Arial" w:hAnsi="Arial" w:cs="Arial"/>
          <w:lang w:val="en-US"/>
        </w:rPr>
      </w:pPr>
      <w:r w:rsidRPr="00BC0995">
        <w:rPr>
          <w:rFonts w:ascii="Arial" w:hAnsi="Arial" w:cs="Arial"/>
          <w:lang w:val="en-US"/>
        </w:rPr>
        <w:t xml:space="preserve"> </w:t>
      </w:r>
    </w:p>
    <w:p w:rsidR="00A477E3" w:rsidRPr="00BC0995" w:rsidRDefault="00A477E3" w:rsidP="00A477E3">
      <w:pPr>
        <w:jc w:val="both"/>
        <w:rPr>
          <w:rFonts w:ascii="Arial" w:hAnsi="Arial" w:cs="Arial"/>
          <w:lang w:val="en-US"/>
        </w:rPr>
      </w:pPr>
    </w:p>
    <w:p w:rsidR="00681762" w:rsidRDefault="00681762">
      <w:pPr>
        <w:rPr>
          <w:rFonts w:ascii="Arial" w:hAnsi="Arial" w:cs="Arial"/>
          <w:lang w:val="en-US"/>
        </w:rPr>
      </w:pPr>
    </w:p>
    <w:p w:rsidR="00BC0995" w:rsidRDefault="00BC0995">
      <w:pPr>
        <w:rPr>
          <w:rFonts w:ascii="Arial" w:hAnsi="Arial" w:cs="Arial"/>
          <w:lang w:val="en-US"/>
        </w:rPr>
      </w:pPr>
    </w:p>
    <w:p w:rsidR="00BC0995" w:rsidRDefault="00BC0995">
      <w:pPr>
        <w:rPr>
          <w:rFonts w:ascii="Arial" w:hAnsi="Arial" w:cs="Arial"/>
          <w:lang w:val="en-US"/>
        </w:rPr>
      </w:pPr>
    </w:p>
    <w:p w:rsidR="00BC0995" w:rsidRDefault="00BC0995">
      <w:pPr>
        <w:rPr>
          <w:rFonts w:ascii="Arial" w:hAnsi="Arial" w:cs="Arial"/>
          <w:lang w:val="en-US"/>
        </w:rPr>
      </w:pPr>
    </w:p>
    <w:p w:rsidR="00BC0995" w:rsidRDefault="00BC0995">
      <w:pPr>
        <w:rPr>
          <w:rFonts w:ascii="Arial" w:hAnsi="Arial" w:cs="Arial"/>
          <w:lang w:val="en-US"/>
        </w:rPr>
      </w:pPr>
    </w:p>
    <w:p w:rsidR="00BC0995" w:rsidRDefault="00BC0995">
      <w:pPr>
        <w:rPr>
          <w:rFonts w:ascii="Arial" w:hAnsi="Arial" w:cs="Arial"/>
          <w:lang w:val="en-US"/>
        </w:rPr>
      </w:pPr>
    </w:p>
    <w:p w:rsidR="00BC0995" w:rsidRDefault="00BC0995">
      <w:pPr>
        <w:rPr>
          <w:rFonts w:ascii="Arial" w:hAnsi="Arial" w:cs="Arial"/>
          <w:lang w:val="en-US"/>
        </w:rPr>
      </w:pPr>
    </w:p>
    <w:p w:rsidR="00BC0995" w:rsidRDefault="00BC0995">
      <w:pPr>
        <w:rPr>
          <w:rFonts w:ascii="Arial" w:hAnsi="Arial" w:cs="Arial"/>
          <w:lang w:val="en-US"/>
        </w:rPr>
      </w:pPr>
    </w:p>
    <w:tbl>
      <w:tblPr>
        <w:tblStyle w:val="Grigliatabella"/>
        <w:tblpPr w:leftFromText="141" w:rightFromText="141" w:vertAnchor="page" w:horzAnchor="margin" w:tblpY="3607"/>
        <w:tblW w:w="0" w:type="auto"/>
        <w:tblLook w:val="04A0"/>
      </w:tblPr>
      <w:tblGrid>
        <w:gridCol w:w="4889"/>
        <w:gridCol w:w="4889"/>
      </w:tblGrid>
      <w:tr w:rsidR="00BC0995" w:rsidRPr="00BC0995" w:rsidTr="00BC0995">
        <w:tc>
          <w:tcPr>
            <w:tcW w:w="9778" w:type="dxa"/>
            <w:gridSpan w:val="2"/>
            <w:shd w:val="solid" w:color="00B0F0" w:fill="auto"/>
          </w:tcPr>
          <w:p w:rsidR="00BC0995" w:rsidRPr="00BC0995" w:rsidRDefault="00BC0995" w:rsidP="00BC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lastRenderedPageBreak/>
              <w:t>Tabella n°1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Caratteristica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FUO CLASSICA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Ubicazione del paziente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Comunità, Clinica, Ospedale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Definizione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&gt;38 °C, &gt;3 settimane, &gt; 2 visite o 1 settimana in ospedale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Cause principali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Cancro, infezioni, condizioni infiammatorie, Ipertermia abituale non diagnosticata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Focus sull’anamnesi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Viaggi, contatti, esposizione ad animali e insetti, farmaci, vaccinazioni, anamnesi familiare, disturbi delle valvole cardiache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Focus dell’esame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Fondo oculare, orofaringe, arteria temporale, addome, linfonodi, milza, articolazioni, cute, unghie, genitali, retto o prostata, vene profonde degli arti inferiori</w:t>
            </w:r>
          </w:p>
        </w:tc>
      </w:tr>
      <w:tr w:rsidR="00BC0995" w:rsidRPr="007C0EF3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Focus delle indagni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0995">
              <w:rPr>
                <w:rFonts w:ascii="Arial" w:hAnsi="Arial" w:cs="Arial"/>
                <w:sz w:val="24"/>
                <w:szCs w:val="24"/>
                <w:lang w:val="en-US"/>
              </w:rPr>
              <w:t>Imaging, biopsie, VES, test cutanei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  <w:lang w:val="en-US"/>
              </w:rPr>
              <w:t>Trattamento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Osservazione, annotazione della temperature del paziente ambulatoriale, indagini, evitare trattamenti farmacologici empirici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Decorso della malattia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Mesi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Tempo delle indagini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Settimane</w:t>
            </w:r>
          </w:p>
        </w:tc>
      </w:tr>
    </w:tbl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C0995" w:rsidRPr="00BC0995" w:rsidTr="00BC0995">
        <w:tc>
          <w:tcPr>
            <w:tcW w:w="9778" w:type="dxa"/>
            <w:gridSpan w:val="2"/>
            <w:shd w:val="solid" w:color="00B0F0" w:fill="auto"/>
          </w:tcPr>
          <w:p w:rsidR="00BC0995" w:rsidRPr="00BC0995" w:rsidRDefault="00BC0995" w:rsidP="00BC0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Tabella n°2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Caratteristica</w:t>
            </w:r>
          </w:p>
        </w:tc>
        <w:tc>
          <w:tcPr>
            <w:tcW w:w="4889" w:type="dxa"/>
          </w:tcPr>
          <w:p w:rsidR="00BC0995" w:rsidRPr="00357058" w:rsidRDefault="00BC0995" w:rsidP="00C30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FUO NOSOCOMIALE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Definizione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≥ 38 °C,&gt;  1 settimana, non presente o incubazione al momento del ricovero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Ubicazione del paziente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Ospedale per assistenza in acuto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Cause principali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Infezioni associate all’assistenza sanitaria, complicanze postoperatorie, febbre da farmaci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Focus sull’anamnesi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Interventi e procedure, dispositivi, considerazioni anatomiche, farmacoterapia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Focus dell’esame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Ferite, drenaggi, dispositivi, seni paranasali, urine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Focus delle indagini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Imaging, colture batteriche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  <w:lang w:val="en-US"/>
              </w:rPr>
              <w:t>Trattamento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Inbase alla situazione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Decorso della malattia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Settimane</w:t>
            </w:r>
          </w:p>
        </w:tc>
      </w:tr>
      <w:tr w:rsidR="00BC0995" w:rsidRPr="00BC0995" w:rsidTr="00C30384">
        <w:tc>
          <w:tcPr>
            <w:tcW w:w="4889" w:type="dxa"/>
          </w:tcPr>
          <w:p w:rsidR="00BC0995" w:rsidRPr="00BC0995" w:rsidRDefault="00BC0995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0995">
              <w:rPr>
                <w:rFonts w:ascii="Arial" w:hAnsi="Arial" w:cs="Arial"/>
                <w:b/>
                <w:sz w:val="24"/>
                <w:szCs w:val="24"/>
              </w:rPr>
              <w:t>Tempo delle indagini</w:t>
            </w:r>
          </w:p>
        </w:tc>
        <w:tc>
          <w:tcPr>
            <w:tcW w:w="4889" w:type="dxa"/>
          </w:tcPr>
          <w:p w:rsidR="00BC0995" w:rsidRPr="00BC0995" w:rsidRDefault="00BC0995" w:rsidP="00C30384">
            <w:pPr>
              <w:rPr>
                <w:rFonts w:ascii="Arial" w:hAnsi="Arial" w:cs="Arial"/>
                <w:sz w:val="24"/>
                <w:szCs w:val="24"/>
              </w:rPr>
            </w:pPr>
            <w:r w:rsidRPr="00BC0995">
              <w:rPr>
                <w:rFonts w:ascii="Arial" w:hAnsi="Arial" w:cs="Arial"/>
                <w:sz w:val="24"/>
                <w:szCs w:val="24"/>
              </w:rPr>
              <w:t>Giorni</w:t>
            </w:r>
          </w:p>
        </w:tc>
      </w:tr>
    </w:tbl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57058" w:rsidTr="00357058">
        <w:tc>
          <w:tcPr>
            <w:tcW w:w="9778" w:type="dxa"/>
            <w:gridSpan w:val="2"/>
            <w:shd w:val="solid" w:color="00B0F0" w:fill="auto"/>
          </w:tcPr>
          <w:p w:rsidR="00357058" w:rsidRPr="00357058" w:rsidRDefault="00357058" w:rsidP="00357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Tabella n°3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Caratteristica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FUO DA IMMUNODEFICIENZA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Definizione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≥38 °C, &gt; 1 settimana, colture negative dopo 48 ore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Ubicazione del paziente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Ospedale o clinica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Cause principali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Maggioranza dovuta a infezioni, ma causa documentata solo nel 40-60% dei casi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Focus sull’anamnesi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Stadio della chemioterapia, farmaci somministrati, stato di immunosoppressione sottostante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Focus dell’esame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Pieghe cutanee, siti e.v., polmoni, area perianale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Focus delle indagini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Radiografia del torace, colture batteriche</w:t>
            </w:r>
          </w:p>
        </w:tc>
      </w:tr>
      <w:tr w:rsidR="00357058" w:rsidRPr="0074587C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Protocolli di trattamento antimicrobico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Decorso della malattia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Giorni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Tempo delle indagini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Ore</w:t>
            </w:r>
          </w:p>
        </w:tc>
      </w:tr>
    </w:tbl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57058" w:rsidTr="00357058">
        <w:tc>
          <w:tcPr>
            <w:tcW w:w="9778" w:type="dxa"/>
            <w:gridSpan w:val="2"/>
            <w:shd w:val="solid" w:color="00B0F0" w:fill="00B0F0"/>
          </w:tcPr>
          <w:p w:rsidR="00357058" w:rsidRPr="00357058" w:rsidRDefault="00357058" w:rsidP="00357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Tabella n°4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Caratteristica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FUO COORELATA All’HIV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Definizione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≥ 38 °c, &gt;3 settimane per pazienti ambulatoriali, &gt; 1 setimana per pazienti ricoverati, infezione da HIV confermata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Ubicazione del paziente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Comunità, clinica o ospedale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Cause principali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HIV (infezione primaria), micobatteri tipici e atipici, CMV, linfomi, toxoplasmosi, criptococcosi, sindrome infiammatoria da immunoricostruzione (IRIS)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Focus sull’anamnesi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Farmaci, esposizioni, fattori di rischio, viaggi, contatti, stadio dell’infezione da HIV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Focus dell’esame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Bocca, seni paranasali, cute, linfonodi, occhi, polmoni, area perianale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Focus delle indagini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Conta ematica e linfocitaria; test sierologici; radiografia del torace; esame delle feci; biopsia di polmone, midollo osseo e fegato per colture e test citologici; Imaging cerebrale</w:t>
            </w:r>
          </w:p>
        </w:tc>
      </w:tr>
      <w:tr w:rsidR="00357058" w:rsidRPr="0074587C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Protocolli antivirali e antimicrobici, vaccini, revisione dei regimi di trattamento, buona nutrizione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Decorso della malattia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Da settimane a mesi</w:t>
            </w:r>
          </w:p>
        </w:tc>
      </w:tr>
      <w:tr w:rsidR="00357058" w:rsidTr="00C30384"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7058">
              <w:rPr>
                <w:rFonts w:ascii="Arial" w:hAnsi="Arial" w:cs="Arial"/>
                <w:b/>
                <w:sz w:val="24"/>
                <w:szCs w:val="24"/>
              </w:rPr>
              <w:t>Tempo delle indagini</w:t>
            </w:r>
          </w:p>
        </w:tc>
        <w:tc>
          <w:tcPr>
            <w:tcW w:w="4889" w:type="dxa"/>
          </w:tcPr>
          <w:p w:rsidR="00357058" w:rsidRPr="00357058" w:rsidRDefault="00357058" w:rsidP="00C30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058">
              <w:rPr>
                <w:rFonts w:ascii="Arial" w:hAnsi="Arial" w:cs="Arial"/>
                <w:sz w:val="24"/>
                <w:szCs w:val="24"/>
              </w:rPr>
              <w:t>Da giorni a settimane</w:t>
            </w:r>
          </w:p>
        </w:tc>
      </w:tr>
    </w:tbl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p w:rsidR="00BC0995" w:rsidRPr="00BC0995" w:rsidRDefault="00BC0995" w:rsidP="00BC0995">
      <w:pPr>
        <w:rPr>
          <w:rFonts w:ascii="Arial" w:hAnsi="Arial" w:cs="Arial"/>
          <w:lang w:val="en-US"/>
        </w:rPr>
      </w:pPr>
    </w:p>
    <w:sectPr w:rsidR="00BC0995" w:rsidRPr="00BC0995" w:rsidSect="00A07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7CB"/>
    <w:multiLevelType w:val="hybridMultilevel"/>
    <w:tmpl w:val="719A9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43D"/>
    <w:multiLevelType w:val="hybridMultilevel"/>
    <w:tmpl w:val="A5589D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881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0D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AA9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C61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40D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8EC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40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C73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B6BEC"/>
    <w:multiLevelType w:val="hybridMultilevel"/>
    <w:tmpl w:val="066219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66E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8C3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B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57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A9C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2C5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EDF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8D6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24CB0"/>
    <w:multiLevelType w:val="hybridMultilevel"/>
    <w:tmpl w:val="A65224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ECB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0A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8F4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01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CB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6AB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A6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08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C53E8"/>
    <w:multiLevelType w:val="hybridMultilevel"/>
    <w:tmpl w:val="561CD8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5D1B"/>
    <w:multiLevelType w:val="hybridMultilevel"/>
    <w:tmpl w:val="27FAF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242A"/>
    <w:multiLevelType w:val="hybridMultilevel"/>
    <w:tmpl w:val="1A64E7F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D566E90" w:tentative="1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8C3A4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8E2B184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A8625788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91CA9C76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202C562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D91EDFB0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FE78D6D2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204671C"/>
    <w:multiLevelType w:val="hybridMultilevel"/>
    <w:tmpl w:val="C14E5B5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D566E90" w:tentative="1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8C3A4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8E2B184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A8625788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91CA9C76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202C562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D91EDFB0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FE78D6D2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49B6117"/>
    <w:multiLevelType w:val="hybridMultilevel"/>
    <w:tmpl w:val="088428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F7ED7"/>
    <w:multiLevelType w:val="hybridMultilevel"/>
    <w:tmpl w:val="9B92BD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D72828"/>
    <w:multiLevelType w:val="hybridMultilevel"/>
    <w:tmpl w:val="64A0A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3124"/>
    <w:multiLevelType w:val="hybridMultilevel"/>
    <w:tmpl w:val="EA72CA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77E3"/>
    <w:rsid w:val="00156BB0"/>
    <w:rsid w:val="002C6342"/>
    <w:rsid w:val="00357058"/>
    <w:rsid w:val="004B2B38"/>
    <w:rsid w:val="00563F65"/>
    <w:rsid w:val="006506D0"/>
    <w:rsid w:val="00674D19"/>
    <w:rsid w:val="00681762"/>
    <w:rsid w:val="006A62D3"/>
    <w:rsid w:val="006B4C8F"/>
    <w:rsid w:val="0073061C"/>
    <w:rsid w:val="007B5375"/>
    <w:rsid w:val="007C0EF3"/>
    <w:rsid w:val="00867471"/>
    <w:rsid w:val="0088214B"/>
    <w:rsid w:val="00A477E3"/>
    <w:rsid w:val="00B11F3B"/>
    <w:rsid w:val="00B417B8"/>
    <w:rsid w:val="00B94FBF"/>
    <w:rsid w:val="00BA09B4"/>
    <w:rsid w:val="00BC0995"/>
    <w:rsid w:val="00D02072"/>
    <w:rsid w:val="00D15A5E"/>
    <w:rsid w:val="00EB4A9A"/>
    <w:rsid w:val="00EC21F3"/>
    <w:rsid w:val="00F3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7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7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7E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77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2015-02-11T13:47:00Z</dcterms:created>
  <dcterms:modified xsi:type="dcterms:W3CDTF">2015-02-11T13:47:00Z</dcterms:modified>
</cp:coreProperties>
</file>